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87097" w14:textId="4911E3B5" w:rsidR="00775649" w:rsidRPr="0076297D" w:rsidRDefault="00FE1F6C" w:rsidP="00A62DD4">
      <w:pPr>
        <w:pStyle w:val="Title"/>
        <w:ind w:left="0"/>
        <w:rPr>
          <w:color w:val="1F497D" w:themeColor="text2"/>
          <w:sz w:val="56"/>
          <w:szCs w:val="56"/>
          <w:lang w:val="en-AU"/>
        </w:rPr>
      </w:pPr>
      <w:r w:rsidRPr="0076297D">
        <w:rPr>
          <w:color w:val="1F497D" w:themeColor="text2"/>
          <w:sz w:val="56"/>
          <w:szCs w:val="56"/>
          <w:lang w:val="en-AU"/>
        </w:rPr>
        <w:t>Position Description</w:t>
      </w:r>
    </w:p>
    <w:p w14:paraId="38C0AC6A" w14:textId="48E6AF36" w:rsidR="000564B9" w:rsidRPr="0076297D" w:rsidRDefault="001346E6" w:rsidP="0057159F">
      <w:pPr>
        <w:pStyle w:val="Heading1"/>
        <w:rPr>
          <w:lang w:val="en-AU"/>
        </w:rPr>
      </w:pPr>
      <w:bookmarkStart w:id="0" w:name="_Toc7418857"/>
      <w:bookmarkStart w:id="1" w:name="_Toc38870213"/>
      <w:bookmarkStart w:id="2" w:name="_Toc102877246"/>
      <w:bookmarkStart w:id="3" w:name="_Toc102893655"/>
      <w:r w:rsidRPr="0076297D">
        <w:rPr>
          <w:color w:val="17365D" w:themeColor="text2" w:themeShade="BF"/>
          <w:lang w:val="en-AU"/>
        </w:rPr>
        <w:t>General Information</w:t>
      </w:r>
    </w:p>
    <w:p w14:paraId="54DC8F8B" w14:textId="22E60B38" w:rsidR="001346E6" w:rsidRPr="0076297D" w:rsidRDefault="0057159F" w:rsidP="001346E6">
      <w:pPr>
        <w:rPr>
          <w:lang w:val="en-AU"/>
        </w:rPr>
      </w:pPr>
      <w:r w:rsidRPr="0076297D">
        <w:rPr>
          <w:b/>
          <w:bCs/>
          <w:lang w:val="en-AU"/>
        </w:rPr>
        <w:t>Position:</w:t>
      </w:r>
      <w:r w:rsidRPr="0076297D">
        <w:rPr>
          <w:lang w:val="en-AU"/>
        </w:rPr>
        <w:tab/>
      </w:r>
      <w:r w:rsidRPr="0076297D">
        <w:rPr>
          <w:lang w:val="en-AU"/>
        </w:rPr>
        <w:tab/>
      </w:r>
      <w:r w:rsidRPr="0076297D">
        <w:rPr>
          <w:lang w:val="en-AU"/>
        </w:rPr>
        <w:tab/>
      </w:r>
      <w:r w:rsidRPr="0076297D">
        <w:rPr>
          <w:lang w:val="en-AU"/>
        </w:rPr>
        <w:tab/>
      </w:r>
      <w:r w:rsidRPr="0076297D">
        <w:rPr>
          <w:lang w:val="en-AU"/>
        </w:rPr>
        <w:tab/>
        <w:t>Tolling Customer Ombudsman</w:t>
      </w:r>
    </w:p>
    <w:p w14:paraId="6E491A44" w14:textId="3845BF70" w:rsidR="0057159F" w:rsidRPr="0076297D" w:rsidRDefault="0057159F" w:rsidP="001346E6">
      <w:pPr>
        <w:rPr>
          <w:lang w:val="en-AU"/>
        </w:rPr>
      </w:pPr>
      <w:r w:rsidRPr="0076297D">
        <w:rPr>
          <w:b/>
          <w:bCs/>
          <w:lang w:val="en-AU"/>
        </w:rPr>
        <w:t>Reporting to:</w:t>
      </w:r>
      <w:r w:rsidRPr="0076297D">
        <w:rPr>
          <w:lang w:val="en-AU"/>
        </w:rPr>
        <w:tab/>
      </w:r>
      <w:r w:rsidRPr="0076297D">
        <w:rPr>
          <w:lang w:val="en-AU"/>
        </w:rPr>
        <w:tab/>
      </w:r>
      <w:r w:rsidRPr="0076297D">
        <w:rPr>
          <w:lang w:val="en-AU"/>
        </w:rPr>
        <w:tab/>
      </w:r>
      <w:r w:rsidRPr="0076297D">
        <w:rPr>
          <w:lang w:val="en-AU"/>
        </w:rPr>
        <w:tab/>
      </w:r>
      <w:r w:rsidRPr="0076297D">
        <w:rPr>
          <w:lang w:val="en-AU"/>
        </w:rPr>
        <w:tab/>
        <w:t>Specialist Complaints Service Limited Board</w:t>
      </w:r>
    </w:p>
    <w:p w14:paraId="66CE017A" w14:textId="3C485D0B" w:rsidR="0057159F" w:rsidRDefault="0057159F" w:rsidP="001346E6">
      <w:pPr>
        <w:rPr>
          <w:lang w:val="en-AU"/>
        </w:rPr>
      </w:pPr>
      <w:r w:rsidRPr="0076297D">
        <w:rPr>
          <w:b/>
          <w:bCs/>
          <w:lang w:val="en-AU"/>
        </w:rPr>
        <w:t>Date:</w:t>
      </w:r>
      <w:r w:rsidRPr="0076297D">
        <w:rPr>
          <w:lang w:val="en-AU"/>
        </w:rPr>
        <w:tab/>
      </w:r>
      <w:r w:rsidRPr="0076297D">
        <w:rPr>
          <w:lang w:val="en-AU"/>
        </w:rPr>
        <w:tab/>
      </w:r>
      <w:r w:rsidRPr="0076297D">
        <w:rPr>
          <w:lang w:val="en-AU"/>
        </w:rPr>
        <w:tab/>
      </w:r>
      <w:r w:rsidRPr="0076297D">
        <w:rPr>
          <w:lang w:val="en-AU"/>
        </w:rPr>
        <w:tab/>
      </w:r>
      <w:r w:rsidRPr="0076297D">
        <w:rPr>
          <w:lang w:val="en-AU"/>
        </w:rPr>
        <w:tab/>
      </w:r>
      <w:r w:rsidRPr="0076297D">
        <w:rPr>
          <w:lang w:val="en-AU"/>
        </w:rPr>
        <w:tab/>
      </w:r>
      <w:r w:rsidR="00E75752">
        <w:rPr>
          <w:lang w:val="en-AU"/>
        </w:rPr>
        <w:t xml:space="preserve">September </w:t>
      </w:r>
      <w:r w:rsidRPr="0076297D">
        <w:rPr>
          <w:lang w:val="en-AU"/>
        </w:rPr>
        <w:t>2019</w:t>
      </w:r>
    </w:p>
    <w:p w14:paraId="3F264B4F" w14:textId="4E78E3B8" w:rsidR="001E5C2F" w:rsidRPr="006523D4" w:rsidRDefault="006523D4" w:rsidP="001346E6">
      <w:pPr>
        <w:rPr>
          <w:b/>
          <w:bCs/>
          <w:lang w:val="en-AU"/>
        </w:rPr>
      </w:pPr>
      <w:r w:rsidRPr="006523D4">
        <w:rPr>
          <w:b/>
          <w:bCs/>
          <w:lang w:val="en-AU"/>
        </w:rPr>
        <w:t>Location:</w:t>
      </w:r>
      <w:r>
        <w:rPr>
          <w:b/>
          <w:bCs/>
          <w:lang w:val="en-AU"/>
        </w:rPr>
        <w:tab/>
      </w:r>
      <w:r>
        <w:rPr>
          <w:b/>
          <w:bCs/>
          <w:lang w:val="en-AU"/>
        </w:rPr>
        <w:tab/>
      </w:r>
      <w:r>
        <w:rPr>
          <w:b/>
          <w:bCs/>
          <w:lang w:val="en-AU"/>
        </w:rPr>
        <w:tab/>
      </w:r>
      <w:r>
        <w:rPr>
          <w:b/>
          <w:bCs/>
          <w:lang w:val="en-AU"/>
        </w:rPr>
        <w:tab/>
      </w:r>
      <w:r>
        <w:rPr>
          <w:b/>
          <w:bCs/>
          <w:lang w:val="en-AU"/>
        </w:rPr>
        <w:tab/>
      </w:r>
      <w:r w:rsidRPr="006523D4">
        <w:rPr>
          <w:lang w:val="en-AU"/>
        </w:rPr>
        <w:t>Brisbane, Melbourne</w:t>
      </w:r>
      <w:r>
        <w:rPr>
          <w:lang w:val="en-AU"/>
        </w:rPr>
        <w:t xml:space="preserve"> or Sydney</w:t>
      </w:r>
    </w:p>
    <w:p w14:paraId="782A450A" w14:textId="4FE6C682" w:rsidR="0057159F" w:rsidRPr="0076297D" w:rsidRDefault="00052B7B" w:rsidP="00052B7B">
      <w:pPr>
        <w:pStyle w:val="Heading1"/>
        <w:rPr>
          <w:color w:val="17365D" w:themeColor="text2" w:themeShade="BF"/>
          <w:lang w:val="en-AU"/>
        </w:rPr>
      </w:pPr>
      <w:r w:rsidRPr="0076297D">
        <w:rPr>
          <w:color w:val="17365D" w:themeColor="text2" w:themeShade="BF"/>
          <w:lang w:val="en-AU"/>
        </w:rPr>
        <w:t>Quantitative Data</w:t>
      </w:r>
    </w:p>
    <w:p w14:paraId="635A36ED" w14:textId="31DA7F43" w:rsidR="00052B7B" w:rsidRPr="0076297D" w:rsidRDefault="00052B7B" w:rsidP="001346E6">
      <w:pPr>
        <w:rPr>
          <w:lang w:val="en-AU"/>
        </w:rPr>
      </w:pPr>
      <w:r w:rsidRPr="0076297D">
        <w:rPr>
          <w:b/>
          <w:bCs/>
          <w:lang w:val="en-AU"/>
        </w:rPr>
        <w:t>No of staff</w:t>
      </w:r>
      <w:r w:rsidR="00D03418" w:rsidRPr="0076297D">
        <w:rPr>
          <w:b/>
          <w:bCs/>
          <w:lang w:val="en-AU"/>
        </w:rPr>
        <w:t xml:space="preserve"> under management</w:t>
      </w:r>
      <w:r w:rsidRPr="0076297D">
        <w:rPr>
          <w:b/>
          <w:bCs/>
          <w:lang w:val="en-AU"/>
        </w:rPr>
        <w:t>:</w:t>
      </w:r>
      <w:r w:rsidRPr="0076297D">
        <w:rPr>
          <w:lang w:val="en-AU"/>
        </w:rPr>
        <w:tab/>
      </w:r>
      <w:r w:rsidRPr="0076297D">
        <w:rPr>
          <w:lang w:val="en-AU"/>
        </w:rPr>
        <w:tab/>
      </w:r>
      <w:r w:rsidR="00E75752">
        <w:rPr>
          <w:lang w:val="en-AU"/>
        </w:rPr>
        <w:t>1</w:t>
      </w:r>
      <w:r w:rsidR="00D03418" w:rsidRPr="0076297D">
        <w:rPr>
          <w:lang w:val="en-AU"/>
        </w:rPr>
        <w:t xml:space="preserve"> (Administrator)</w:t>
      </w:r>
    </w:p>
    <w:p w14:paraId="20E6A599" w14:textId="500B8258" w:rsidR="00A12745" w:rsidRPr="0076297D" w:rsidRDefault="00A12745" w:rsidP="001346E6">
      <w:pPr>
        <w:rPr>
          <w:lang w:val="en-AU"/>
        </w:rPr>
      </w:pPr>
      <w:r w:rsidRPr="0076297D">
        <w:rPr>
          <w:b/>
          <w:bCs/>
          <w:lang w:val="en-AU"/>
        </w:rPr>
        <w:t>Budget:</w:t>
      </w:r>
      <w:r w:rsidRPr="0076297D">
        <w:rPr>
          <w:lang w:val="en-AU"/>
        </w:rPr>
        <w:tab/>
      </w:r>
      <w:r w:rsidRPr="0076297D">
        <w:rPr>
          <w:lang w:val="en-AU"/>
        </w:rPr>
        <w:tab/>
      </w:r>
      <w:r w:rsidRPr="0076297D">
        <w:rPr>
          <w:lang w:val="en-AU"/>
        </w:rPr>
        <w:tab/>
      </w:r>
      <w:r w:rsidRPr="0076297D">
        <w:rPr>
          <w:lang w:val="en-AU"/>
        </w:rPr>
        <w:tab/>
      </w:r>
      <w:r w:rsidRPr="0076297D">
        <w:rPr>
          <w:lang w:val="en-AU"/>
        </w:rPr>
        <w:tab/>
        <w:t>AUD$</w:t>
      </w:r>
      <w:r w:rsidR="00F86122">
        <w:rPr>
          <w:lang w:val="en-AU"/>
        </w:rPr>
        <w:t>300</w:t>
      </w:r>
      <w:r w:rsidRPr="0076297D">
        <w:rPr>
          <w:lang w:val="en-AU"/>
        </w:rPr>
        <w:t>,000 revenue</w:t>
      </w:r>
      <w:r w:rsidR="00DA31B9" w:rsidRPr="0076297D">
        <w:rPr>
          <w:lang w:val="en-AU"/>
        </w:rPr>
        <w:t xml:space="preserve"> </w:t>
      </w:r>
      <w:r w:rsidR="00DE247D">
        <w:rPr>
          <w:lang w:val="en-AU"/>
        </w:rPr>
        <w:t>approx</w:t>
      </w:r>
      <w:r w:rsidR="001F76B1">
        <w:rPr>
          <w:lang w:val="en-AU"/>
        </w:rPr>
        <w:t xml:space="preserve">. </w:t>
      </w:r>
    </w:p>
    <w:p w14:paraId="305B2E50" w14:textId="29617085" w:rsidR="00DA31B9" w:rsidRPr="0076297D" w:rsidRDefault="00DA31B9" w:rsidP="001658F0">
      <w:pPr>
        <w:pStyle w:val="Heading1"/>
        <w:rPr>
          <w:color w:val="17365D" w:themeColor="text2" w:themeShade="BF"/>
          <w:lang w:val="en-AU"/>
        </w:rPr>
      </w:pPr>
      <w:r w:rsidRPr="0076297D">
        <w:rPr>
          <w:color w:val="17365D" w:themeColor="text2" w:themeShade="BF"/>
          <w:lang w:val="en-AU"/>
        </w:rPr>
        <w:t>Purpose of the Position</w:t>
      </w:r>
    </w:p>
    <w:p w14:paraId="0F75F23E" w14:textId="3C18F184" w:rsidR="001658F0" w:rsidRPr="0076297D" w:rsidRDefault="001658F0" w:rsidP="001658F0">
      <w:pPr>
        <w:pStyle w:val="ListParagraph"/>
        <w:numPr>
          <w:ilvl w:val="0"/>
          <w:numId w:val="6"/>
        </w:numPr>
        <w:rPr>
          <w:lang w:val="en-AU"/>
        </w:rPr>
      </w:pPr>
      <w:r w:rsidRPr="0076297D">
        <w:rPr>
          <w:lang w:val="en-AU"/>
        </w:rPr>
        <w:t>Undertakes external dispute resolution</w:t>
      </w:r>
      <w:r w:rsidR="0075779F" w:rsidRPr="0076297D">
        <w:rPr>
          <w:lang w:val="en-AU"/>
        </w:rPr>
        <w:t xml:space="preserve"> in accordance with the Tolling Customer Ombudsman </w:t>
      </w:r>
      <w:r w:rsidR="006151BB" w:rsidRPr="0076297D">
        <w:rPr>
          <w:lang w:val="en-AU"/>
        </w:rPr>
        <w:t>Terms of Reference</w:t>
      </w:r>
      <w:r w:rsidR="0075779F" w:rsidRPr="0076297D">
        <w:rPr>
          <w:lang w:val="en-AU"/>
        </w:rPr>
        <w:t>, including issuing determinations where appropriate.</w:t>
      </w:r>
    </w:p>
    <w:p w14:paraId="19A050A1" w14:textId="162E635F" w:rsidR="00DB32F0" w:rsidRPr="0076297D" w:rsidRDefault="00DB32F0" w:rsidP="001658F0">
      <w:pPr>
        <w:pStyle w:val="ListParagraph"/>
        <w:numPr>
          <w:ilvl w:val="0"/>
          <w:numId w:val="6"/>
        </w:numPr>
        <w:rPr>
          <w:lang w:val="en-AU"/>
        </w:rPr>
      </w:pPr>
      <w:r w:rsidRPr="0076297D">
        <w:rPr>
          <w:lang w:val="en-AU"/>
        </w:rPr>
        <w:t xml:space="preserve">Under direction of the Specialist Complaints Service Limited (SCS) Board </w:t>
      </w:r>
    </w:p>
    <w:p w14:paraId="7CAA2A8A" w14:textId="19753FAD" w:rsidR="00DB32F0" w:rsidRPr="0076297D" w:rsidRDefault="00DB32F0" w:rsidP="00DB32F0">
      <w:pPr>
        <w:pStyle w:val="ListParagraph"/>
        <w:numPr>
          <w:ilvl w:val="1"/>
          <w:numId w:val="6"/>
        </w:numPr>
        <w:rPr>
          <w:lang w:val="en-AU"/>
        </w:rPr>
      </w:pPr>
      <w:r w:rsidRPr="0076297D">
        <w:rPr>
          <w:lang w:val="en-AU"/>
        </w:rPr>
        <w:t>d</w:t>
      </w:r>
      <w:r w:rsidR="00DA31B9" w:rsidRPr="0076297D">
        <w:rPr>
          <w:lang w:val="en-AU"/>
        </w:rPr>
        <w:t>irects the operational and financial activities of</w:t>
      </w:r>
      <w:r w:rsidRPr="0076297D">
        <w:rPr>
          <w:lang w:val="en-AU"/>
        </w:rPr>
        <w:t xml:space="preserve"> the Tolling Customer Ombudsman</w:t>
      </w:r>
      <w:r w:rsidR="001F76B1">
        <w:rPr>
          <w:lang w:val="en-AU"/>
        </w:rPr>
        <w:t xml:space="preserve"> scheme</w:t>
      </w:r>
      <w:r w:rsidR="00DA31B9" w:rsidRPr="0076297D">
        <w:rPr>
          <w:lang w:val="en-AU"/>
        </w:rPr>
        <w:t xml:space="preserve">, and </w:t>
      </w:r>
    </w:p>
    <w:p w14:paraId="693ECA74" w14:textId="07BC769A" w:rsidR="00B375C3" w:rsidRPr="0076297D" w:rsidRDefault="00DA31B9" w:rsidP="00DB32F0">
      <w:pPr>
        <w:pStyle w:val="ListParagraph"/>
        <w:numPr>
          <w:ilvl w:val="1"/>
          <w:numId w:val="6"/>
        </w:numPr>
        <w:rPr>
          <w:lang w:val="en-AU"/>
        </w:rPr>
      </w:pPr>
      <w:r w:rsidRPr="0076297D">
        <w:rPr>
          <w:lang w:val="en-AU"/>
        </w:rPr>
        <w:t>guides</w:t>
      </w:r>
      <w:r w:rsidR="006151BB" w:rsidRPr="0076297D">
        <w:rPr>
          <w:lang w:val="en-AU"/>
        </w:rPr>
        <w:t xml:space="preserve"> the development of </w:t>
      </w:r>
      <w:r w:rsidR="00B375C3" w:rsidRPr="0076297D">
        <w:rPr>
          <w:lang w:val="en-AU"/>
        </w:rPr>
        <w:t>long- and short-range</w:t>
      </w:r>
      <w:r w:rsidR="006151BB" w:rsidRPr="0076297D">
        <w:rPr>
          <w:lang w:val="en-AU"/>
        </w:rPr>
        <w:t xml:space="preserve"> strategies and policies for</w:t>
      </w:r>
      <w:r w:rsidR="00B375C3" w:rsidRPr="0076297D">
        <w:rPr>
          <w:lang w:val="en-AU"/>
        </w:rPr>
        <w:t xml:space="preserve"> the Tolling Customer Ombudsman</w:t>
      </w:r>
      <w:r w:rsidR="001F76B1">
        <w:rPr>
          <w:lang w:val="en-AU"/>
        </w:rPr>
        <w:t xml:space="preserve"> scheme</w:t>
      </w:r>
      <w:r w:rsidR="00DB32F0" w:rsidRPr="0076297D">
        <w:rPr>
          <w:lang w:val="en-AU"/>
        </w:rPr>
        <w:t>,</w:t>
      </w:r>
      <w:r w:rsidR="006151BB" w:rsidRPr="0076297D">
        <w:rPr>
          <w:lang w:val="en-AU"/>
        </w:rPr>
        <w:t xml:space="preserve"> </w:t>
      </w:r>
    </w:p>
    <w:p w14:paraId="1A265551" w14:textId="220D8178" w:rsidR="00DA31B9" w:rsidRPr="0076297D" w:rsidRDefault="00042AD9" w:rsidP="00B375C3">
      <w:pPr>
        <w:pStyle w:val="ListParagraph"/>
        <w:rPr>
          <w:lang w:val="en-AU"/>
        </w:rPr>
      </w:pPr>
      <w:r w:rsidRPr="0076297D">
        <w:rPr>
          <w:lang w:val="en-AU"/>
        </w:rPr>
        <w:t xml:space="preserve">in order to meet the organizational </w:t>
      </w:r>
      <w:r w:rsidR="00B375C3" w:rsidRPr="0076297D">
        <w:rPr>
          <w:lang w:val="en-AU"/>
        </w:rPr>
        <w:t>short- and long-term</w:t>
      </w:r>
      <w:r w:rsidRPr="0076297D">
        <w:rPr>
          <w:lang w:val="en-AU"/>
        </w:rPr>
        <w:t xml:space="preserve"> strategic objectives.</w:t>
      </w:r>
    </w:p>
    <w:p w14:paraId="5EBCE458" w14:textId="5F2D282A" w:rsidR="00006AEF" w:rsidRDefault="00006AEF" w:rsidP="00A87B0A">
      <w:pPr>
        <w:pStyle w:val="Heading1"/>
        <w:rPr>
          <w:color w:val="17365D" w:themeColor="text2" w:themeShade="BF"/>
          <w:lang w:val="en-AU"/>
        </w:rPr>
      </w:pPr>
      <w:r>
        <w:rPr>
          <w:color w:val="17365D" w:themeColor="text2" w:themeShade="BF"/>
          <w:lang w:val="en-AU"/>
        </w:rPr>
        <w:t>Qualifications</w:t>
      </w:r>
      <w:r w:rsidR="00B2381C">
        <w:rPr>
          <w:color w:val="17365D" w:themeColor="text2" w:themeShade="BF"/>
          <w:lang w:val="en-AU"/>
        </w:rPr>
        <w:t xml:space="preserve"> and Experience</w:t>
      </w:r>
    </w:p>
    <w:p w14:paraId="52E309A3" w14:textId="73DE121E" w:rsidR="00EE3246" w:rsidRDefault="00EE3246" w:rsidP="00EE3246">
      <w:pPr>
        <w:pStyle w:val="ListParagraph"/>
        <w:numPr>
          <w:ilvl w:val="0"/>
          <w:numId w:val="6"/>
        </w:numPr>
        <w:rPr>
          <w:lang w:val="en-AU"/>
        </w:rPr>
      </w:pPr>
      <w:r>
        <w:rPr>
          <w:lang w:val="en-AU"/>
        </w:rPr>
        <w:t>Appropriate legal and/or senior management qualifications</w:t>
      </w:r>
    </w:p>
    <w:p w14:paraId="2969ED27" w14:textId="626AB3C4" w:rsidR="00EE3246" w:rsidRDefault="00EE3246" w:rsidP="00EE3246">
      <w:pPr>
        <w:pStyle w:val="ListParagraph"/>
        <w:numPr>
          <w:ilvl w:val="0"/>
          <w:numId w:val="6"/>
        </w:numPr>
        <w:rPr>
          <w:lang w:val="en-AU"/>
        </w:rPr>
      </w:pPr>
      <w:r>
        <w:rPr>
          <w:lang w:val="en-AU"/>
        </w:rPr>
        <w:t>Externally recognised as an appropriate individual for the position</w:t>
      </w:r>
    </w:p>
    <w:p w14:paraId="327F3E3F" w14:textId="7D2541B8" w:rsidR="00B2381C" w:rsidRDefault="00B2381C" w:rsidP="00B2381C">
      <w:pPr>
        <w:pStyle w:val="ListParagraph"/>
        <w:rPr>
          <w:lang w:val="en-AU"/>
        </w:rPr>
      </w:pPr>
    </w:p>
    <w:p w14:paraId="19160D70" w14:textId="62B055FE" w:rsidR="00B2381C" w:rsidRDefault="00B2381C" w:rsidP="00EE3246">
      <w:pPr>
        <w:pStyle w:val="ListParagraph"/>
        <w:numPr>
          <w:ilvl w:val="0"/>
          <w:numId w:val="6"/>
        </w:numPr>
        <w:rPr>
          <w:lang w:val="en-AU"/>
        </w:rPr>
      </w:pPr>
      <w:r>
        <w:rPr>
          <w:lang w:val="en-AU"/>
        </w:rPr>
        <w:t>Significant understanding and experience with consumer related issues and dispute resolution</w:t>
      </w:r>
    </w:p>
    <w:p w14:paraId="349C5DC5" w14:textId="3047A0B2" w:rsidR="00B2381C" w:rsidRDefault="00B2381C" w:rsidP="00EE3246">
      <w:pPr>
        <w:pStyle w:val="ListParagraph"/>
        <w:numPr>
          <w:ilvl w:val="0"/>
          <w:numId w:val="6"/>
        </w:numPr>
        <w:rPr>
          <w:lang w:val="en-AU"/>
        </w:rPr>
      </w:pPr>
      <w:r>
        <w:rPr>
          <w:lang w:val="en-AU"/>
        </w:rPr>
        <w:t xml:space="preserve">Proven </w:t>
      </w:r>
      <w:r w:rsidR="00334BBB">
        <w:rPr>
          <w:lang w:val="en-AU"/>
        </w:rPr>
        <w:t>stakeholder and media relations skills</w:t>
      </w:r>
    </w:p>
    <w:p w14:paraId="4CBD76D7" w14:textId="77777777" w:rsidR="00A07722" w:rsidRDefault="00A07722">
      <w:pPr>
        <w:rPr>
          <w:rFonts w:asciiTheme="majorHAnsi" w:eastAsiaTheme="majorEastAsia" w:hAnsiTheme="majorHAnsi" w:cstheme="majorBidi"/>
          <w:b/>
          <w:bCs/>
          <w:color w:val="17365D" w:themeColor="text2" w:themeShade="BF"/>
          <w:lang w:val="en-AU"/>
        </w:rPr>
      </w:pPr>
      <w:r>
        <w:rPr>
          <w:color w:val="17365D" w:themeColor="text2" w:themeShade="BF"/>
          <w:lang w:val="en-AU"/>
        </w:rPr>
        <w:br w:type="page"/>
      </w:r>
    </w:p>
    <w:p w14:paraId="1CF5AA6C" w14:textId="17590264" w:rsidR="00042AD9" w:rsidRPr="0076297D" w:rsidRDefault="00A87B0A" w:rsidP="00A87B0A">
      <w:pPr>
        <w:pStyle w:val="Heading1"/>
        <w:rPr>
          <w:color w:val="17365D" w:themeColor="text2" w:themeShade="BF"/>
          <w:lang w:val="en-AU"/>
        </w:rPr>
      </w:pPr>
      <w:r w:rsidRPr="0076297D">
        <w:rPr>
          <w:color w:val="17365D" w:themeColor="text2" w:themeShade="BF"/>
          <w:lang w:val="en-AU"/>
        </w:rPr>
        <w:lastRenderedPageBreak/>
        <w:t>Key accountabilities</w:t>
      </w:r>
    </w:p>
    <w:tbl>
      <w:tblPr>
        <w:tblStyle w:val="TableGrid"/>
        <w:tblW w:w="0" w:type="auto"/>
        <w:tblLook w:val="04A0" w:firstRow="1" w:lastRow="0" w:firstColumn="1" w:lastColumn="0" w:noHBand="0" w:noVBand="1"/>
      </w:tblPr>
      <w:tblGrid>
        <w:gridCol w:w="3114"/>
        <w:gridCol w:w="6236"/>
      </w:tblGrid>
      <w:tr w:rsidR="00006AEF" w:rsidRPr="0076297D" w14:paraId="49788934" w14:textId="77777777" w:rsidTr="00A07722">
        <w:tc>
          <w:tcPr>
            <w:tcW w:w="3114" w:type="dxa"/>
          </w:tcPr>
          <w:p w14:paraId="6FE1C33F" w14:textId="77777777" w:rsidR="00006AEF" w:rsidRPr="00A07722" w:rsidRDefault="00006AEF" w:rsidP="007F2E5A">
            <w:pPr>
              <w:rPr>
                <w:b/>
                <w:bCs/>
                <w:lang w:val="en-AU"/>
              </w:rPr>
            </w:pPr>
            <w:r w:rsidRPr="00A07722">
              <w:rPr>
                <w:b/>
                <w:bCs/>
                <w:lang w:val="en-AU"/>
              </w:rPr>
              <w:t>Communications management</w:t>
            </w:r>
          </w:p>
        </w:tc>
        <w:tc>
          <w:tcPr>
            <w:tcW w:w="6236" w:type="dxa"/>
          </w:tcPr>
          <w:p w14:paraId="430C49D0" w14:textId="77777777" w:rsidR="00006AEF" w:rsidRDefault="00006AEF" w:rsidP="007F2E5A">
            <w:pPr>
              <w:rPr>
                <w:lang w:val="en-AU"/>
              </w:rPr>
            </w:pPr>
            <w:r>
              <w:rPr>
                <w:lang w:val="en-AU"/>
              </w:rPr>
              <w:t>Determine corporate identity and branding and provide direction on key corporate messages through media and generally, in line with organisational strategy, to strengthen the external awareness and recognition of TCO</w:t>
            </w:r>
          </w:p>
        </w:tc>
      </w:tr>
      <w:tr w:rsidR="00006AEF" w:rsidRPr="0076297D" w14:paraId="40226EE8" w14:textId="77777777" w:rsidTr="00A07722">
        <w:tc>
          <w:tcPr>
            <w:tcW w:w="3114" w:type="dxa"/>
          </w:tcPr>
          <w:p w14:paraId="58814D7D" w14:textId="77777777" w:rsidR="00006AEF" w:rsidRPr="00A07722" w:rsidRDefault="00006AEF" w:rsidP="007F2E5A">
            <w:pPr>
              <w:rPr>
                <w:b/>
                <w:bCs/>
                <w:lang w:val="en-AU"/>
              </w:rPr>
            </w:pPr>
            <w:r w:rsidRPr="00A07722">
              <w:rPr>
                <w:b/>
                <w:bCs/>
                <w:lang w:val="en-AU"/>
              </w:rPr>
              <w:t>Dispute resolution</w:t>
            </w:r>
          </w:p>
        </w:tc>
        <w:tc>
          <w:tcPr>
            <w:tcW w:w="6236" w:type="dxa"/>
          </w:tcPr>
          <w:p w14:paraId="738698A9" w14:textId="77777777" w:rsidR="00006AEF" w:rsidRDefault="00006AEF" w:rsidP="007F2E5A">
            <w:pPr>
              <w:rPr>
                <w:lang w:val="en-AU"/>
              </w:rPr>
            </w:pPr>
            <w:r w:rsidRPr="0076297D">
              <w:rPr>
                <w:lang w:val="en-AU"/>
              </w:rPr>
              <w:t>Act as the Ombudsman under the TCO Terms of Reference in a manner which is efficient, honest and fair in meeting community expectations</w:t>
            </w:r>
          </w:p>
          <w:p w14:paraId="0D9B8CF3" w14:textId="77777777" w:rsidR="00006AEF" w:rsidRDefault="00006AEF" w:rsidP="007F2E5A">
            <w:pPr>
              <w:rPr>
                <w:lang w:val="en-AU"/>
              </w:rPr>
            </w:pPr>
          </w:p>
          <w:p w14:paraId="237AFC01" w14:textId="77777777" w:rsidR="00006AEF" w:rsidRPr="0076297D" w:rsidRDefault="00006AEF" w:rsidP="007F2E5A">
            <w:pPr>
              <w:rPr>
                <w:lang w:val="en-AU"/>
              </w:rPr>
            </w:pPr>
            <w:r>
              <w:rPr>
                <w:lang w:val="en-AU"/>
              </w:rPr>
              <w:t>Ensure adequate organisational processes, systems and leadership in line with the Terms of Reference and legal obligations to ensure correct and efficient dispute resolution by TCO</w:t>
            </w:r>
          </w:p>
        </w:tc>
      </w:tr>
      <w:tr w:rsidR="00006AEF" w:rsidRPr="0076297D" w14:paraId="61E94337" w14:textId="77777777" w:rsidTr="00A07722">
        <w:tc>
          <w:tcPr>
            <w:tcW w:w="3114" w:type="dxa"/>
          </w:tcPr>
          <w:p w14:paraId="31B2F210" w14:textId="77777777" w:rsidR="00006AEF" w:rsidRPr="00A07722" w:rsidRDefault="00006AEF" w:rsidP="007F2E5A">
            <w:pPr>
              <w:rPr>
                <w:b/>
                <w:bCs/>
                <w:lang w:val="en-AU"/>
              </w:rPr>
            </w:pPr>
            <w:r w:rsidRPr="00A07722">
              <w:rPr>
                <w:b/>
                <w:bCs/>
                <w:lang w:val="en-AU"/>
              </w:rPr>
              <w:t>Financial management</w:t>
            </w:r>
          </w:p>
        </w:tc>
        <w:tc>
          <w:tcPr>
            <w:tcW w:w="6236" w:type="dxa"/>
          </w:tcPr>
          <w:p w14:paraId="0E933492" w14:textId="77777777" w:rsidR="007523E6" w:rsidRDefault="00006AEF" w:rsidP="007F2E5A">
            <w:pPr>
              <w:rPr>
                <w:lang w:val="en-AU"/>
              </w:rPr>
            </w:pPr>
            <w:r>
              <w:rPr>
                <w:lang w:val="en-AU"/>
              </w:rPr>
              <w:t xml:space="preserve">Recommend to the Board annual organisational budgets and business plans </w:t>
            </w:r>
          </w:p>
          <w:p w14:paraId="051BA08F" w14:textId="77777777" w:rsidR="007523E6" w:rsidRDefault="007523E6" w:rsidP="007F2E5A">
            <w:pPr>
              <w:rPr>
                <w:lang w:val="en-AU"/>
              </w:rPr>
            </w:pPr>
          </w:p>
          <w:p w14:paraId="38FD210A" w14:textId="40548268" w:rsidR="00006AEF" w:rsidRPr="0076297D" w:rsidRDefault="007523E6" w:rsidP="007F2E5A">
            <w:pPr>
              <w:rPr>
                <w:lang w:val="en-AU"/>
              </w:rPr>
            </w:pPr>
            <w:r>
              <w:rPr>
                <w:lang w:val="en-AU"/>
              </w:rPr>
              <w:t>M</w:t>
            </w:r>
            <w:r w:rsidR="00006AEF">
              <w:rPr>
                <w:lang w:val="en-AU"/>
              </w:rPr>
              <w:t>onitor expenditure across the organisation in order to ensure budget adherence and achieve long term financial sustainability</w:t>
            </w:r>
          </w:p>
        </w:tc>
      </w:tr>
      <w:tr w:rsidR="00006AEF" w:rsidRPr="0076297D" w14:paraId="7956B7E0" w14:textId="77777777" w:rsidTr="00A07722">
        <w:tc>
          <w:tcPr>
            <w:tcW w:w="3114" w:type="dxa"/>
          </w:tcPr>
          <w:p w14:paraId="200B9AC9" w14:textId="77777777" w:rsidR="00006AEF" w:rsidRPr="00A07722" w:rsidRDefault="00006AEF" w:rsidP="007F2E5A">
            <w:pPr>
              <w:rPr>
                <w:b/>
                <w:bCs/>
                <w:lang w:val="en-AU"/>
              </w:rPr>
            </w:pPr>
            <w:r w:rsidRPr="00A07722">
              <w:rPr>
                <w:b/>
                <w:bCs/>
                <w:lang w:val="en-AU"/>
              </w:rPr>
              <w:t>Government and Community Relations</w:t>
            </w:r>
          </w:p>
        </w:tc>
        <w:tc>
          <w:tcPr>
            <w:tcW w:w="6236" w:type="dxa"/>
          </w:tcPr>
          <w:p w14:paraId="783DE3BD" w14:textId="77777777" w:rsidR="00006AEF" w:rsidRPr="0076297D" w:rsidRDefault="00006AEF" w:rsidP="007F2E5A">
            <w:pPr>
              <w:rPr>
                <w:lang w:val="en-AU"/>
              </w:rPr>
            </w:pPr>
            <w:r w:rsidRPr="0076297D">
              <w:rPr>
                <w:lang w:val="en-AU"/>
              </w:rPr>
              <w:t xml:space="preserve">Establish and maintain appropriate relationships with consumer organisations, government (State and Federal) and regulatory bodies as required in order to </w:t>
            </w:r>
            <w:r>
              <w:rPr>
                <w:lang w:val="en-AU"/>
              </w:rPr>
              <w:t>create favourable conditions with these agencies and institutions for strategy execution</w:t>
            </w:r>
          </w:p>
        </w:tc>
      </w:tr>
      <w:tr w:rsidR="00006AEF" w:rsidRPr="0076297D" w14:paraId="79D6A758" w14:textId="77777777" w:rsidTr="00A07722">
        <w:tc>
          <w:tcPr>
            <w:tcW w:w="3114" w:type="dxa"/>
          </w:tcPr>
          <w:p w14:paraId="7F04F277" w14:textId="77777777" w:rsidR="00006AEF" w:rsidRPr="00A07722" w:rsidRDefault="00006AEF" w:rsidP="007F2E5A">
            <w:pPr>
              <w:rPr>
                <w:b/>
                <w:bCs/>
                <w:lang w:val="en-AU"/>
              </w:rPr>
            </w:pPr>
            <w:r w:rsidRPr="00A07722">
              <w:rPr>
                <w:b/>
                <w:bCs/>
                <w:lang w:val="en-AU"/>
              </w:rPr>
              <w:t>Human resources management</w:t>
            </w:r>
          </w:p>
        </w:tc>
        <w:tc>
          <w:tcPr>
            <w:tcW w:w="6236" w:type="dxa"/>
          </w:tcPr>
          <w:p w14:paraId="7BD6C87F" w14:textId="77777777" w:rsidR="00006AEF" w:rsidRDefault="00006AEF" w:rsidP="007F2E5A">
            <w:pPr>
              <w:rPr>
                <w:lang w:val="en-AU"/>
              </w:rPr>
            </w:pPr>
            <w:r>
              <w:rPr>
                <w:lang w:val="en-AU"/>
              </w:rPr>
              <w:t>Develop and direct appropriate human resources strategies and practices in line with the organisational strategy and legal requirements to ensure that the organisation has a sufficient, engaged, suitably skilled and capable workforce</w:t>
            </w:r>
          </w:p>
        </w:tc>
      </w:tr>
      <w:tr w:rsidR="00006AEF" w:rsidRPr="0076297D" w14:paraId="3F5B56BB" w14:textId="77777777" w:rsidTr="00A07722">
        <w:tc>
          <w:tcPr>
            <w:tcW w:w="3114" w:type="dxa"/>
          </w:tcPr>
          <w:p w14:paraId="3ADEDADF" w14:textId="77777777" w:rsidR="00006AEF" w:rsidRPr="00A07722" w:rsidRDefault="00006AEF" w:rsidP="007F2E5A">
            <w:pPr>
              <w:rPr>
                <w:b/>
                <w:bCs/>
                <w:lang w:val="en-AU"/>
              </w:rPr>
            </w:pPr>
            <w:r w:rsidRPr="00A07722">
              <w:rPr>
                <w:b/>
                <w:bCs/>
                <w:lang w:val="en-AU"/>
              </w:rPr>
              <w:t>Information management</w:t>
            </w:r>
          </w:p>
        </w:tc>
        <w:tc>
          <w:tcPr>
            <w:tcW w:w="6236" w:type="dxa"/>
          </w:tcPr>
          <w:p w14:paraId="127F7940" w14:textId="77777777" w:rsidR="00006AEF" w:rsidRDefault="00006AEF" w:rsidP="007F2E5A">
            <w:pPr>
              <w:rPr>
                <w:lang w:val="en-AU"/>
              </w:rPr>
            </w:pPr>
            <w:r>
              <w:rPr>
                <w:lang w:val="en-AU"/>
              </w:rPr>
              <w:t>Oversee the maintenance of the organisation’s information technology architecture, website and policy development to ensure that personal information is kept secure and that relevant information is up to date and available</w:t>
            </w:r>
          </w:p>
        </w:tc>
      </w:tr>
      <w:tr w:rsidR="00006AEF" w:rsidRPr="0076297D" w14:paraId="74BD3A80" w14:textId="77777777" w:rsidTr="00A07722">
        <w:tc>
          <w:tcPr>
            <w:tcW w:w="3114" w:type="dxa"/>
          </w:tcPr>
          <w:p w14:paraId="015736C4" w14:textId="77777777" w:rsidR="00006AEF" w:rsidRPr="00A07722" w:rsidRDefault="00006AEF" w:rsidP="007F2E5A">
            <w:pPr>
              <w:rPr>
                <w:b/>
                <w:bCs/>
                <w:lang w:val="en-AU"/>
              </w:rPr>
            </w:pPr>
            <w:r w:rsidRPr="00A07722">
              <w:rPr>
                <w:b/>
                <w:bCs/>
                <w:lang w:val="en-AU"/>
              </w:rPr>
              <w:t xml:space="preserve">Membership and Consumer Relations </w:t>
            </w:r>
          </w:p>
        </w:tc>
        <w:tc>
          <w:tcPr>
            <w:tcW w:w="6236" w:type="dxa"/>
          </w:tcPr>
          <w:p w14:paraId="09DCBFF8" w14:textId="77777777" w:rsidR="00006AEF" w:rsidRPr="0076297D" w:rsidRDefault="00006AEF" w:rsidP="007F2E5A">
            <w:pPr>
              <w:rPr>
                <w:lang w:val="en-AU"/>
              </w:rPr>
            </w:pPr>
            <w:r w:rsidRPr="0076297D">
              <w:rPr>
                <w:lang w:val="en-AU"/>
              </w:rPr>
              <w:t>Provide relevant presentations to members and consumers as required in order to increase the understanding of TCO functions and issues affecting complaints within the toll road industry</w:t>
            </w:r>
          </w:p>
        </w:tc>
      </w:tr>
      <w:tr w:rsidR="00A87B0A" w:rsidRPr="0076297D" w14:paraId="40B06324" w14:textId="77777777" w:rsidTr="00A07722">
        <w:tc>
          <w:tcPr>
            <w:tcW w:w="3114" w:type="dxa"/>
          </w:tcPr>
          <w:p w14:paraId="77BABFDF" w14:textId="055BE527" w:rsidR="00A87B0A" w:rsidRPr="00A07722" w:rsidRDefault="00DE6AE2" w:rsidP="00042AD9">
            <w:pPr>
              <w:rPr>
                <w:b/>
                <w:bCs/>
                <w:lang w:val="en-AU"/>
              </w:rPr>
            </w:pPr>
            <w:r w:rsidRPr="00A07722">
              <w:rPr>
                <w:b/>
                <w:bCs/>
                <w:lang w:val="en-AU"/>
              </w:rPr>
              <w:t>Obtain ANZOA membership</w:t>
            </w:r>
          </w:p>
        </w:tc>
        <w:tc>
          <w:tcPr>
            <w:tcW w:w="6236" w:type="dxa"/>
          </w:tcPr>
          <w:p w14:paraId="525FCFB6" w14:textId="297A1833" w:rsidR="00A87B0A" w:rsidRPr="0076297D" w:rsidRDefault="007E4452" w:rsidP="00042AD9">
            <w:pPr>
              <w:rPr>
                <w:lang w:val="en-AU"/>
              </w:rPr>
            </w:pPr>
            <w:r w:rsidRPr="0076297D">
              <w:rPr>
                <w:lang w:val="en-AU"/>
              </w:rPr>
              <w:t>I</w:t>
            </w:r>
            <w:r w:rsidR="00DE6AE2" w:rsidRPr="0076297D">
              <w:rPr>
                <w:lang w:val="en-AU"/>
              </w:rPr>
              <w:t xml:space="preserve">mplement all appropriate </w:t>
            </w:r>
            <w:r w:rsidRPr="0076297D">
              <w:rPr>
                <w:lang w:val="en-AU"/>
              </w:rPr>
              <w:t>initiatives to obtain</w:t>
            </w:r>
            <w:r w:rsidR="00AB7FD1">
              <w:rPr>
                <w:lang w:val="en-AU"/>
              </w:rPr>
              <w:t xml:space="preserve"> and maintain</w:t>
            </w:r>
            <w:bookmarkStart w:id="4" w:name="_GoBack"/>
            <w:bookmarkEnd w:id="4"/>
            <w:r w:rsidRPr="0076297D">
              <w:rPr>
                <w:lang w:val="en-AU"/>
              </w:rPr>
              <w:t xml:space="preserve"> personal membership of the Australia and New Zealand Ombudsman Association (ANZOA) </w:t>
            </w:r>
            <w:r w:rsidR="00842BF7" w:rsidRPr="0076297D">
              <w:rPr>
                <w:lang w:val="en-AU"/>
              </w:rPr>
              <w:t xml:space="preserve">in the capacity </w:t>
            </w:r>
            <w:r w:rsidRPr="0076297D">
              <w:rPr>
                <w:lang w:val="en-AU"/>
              </w:rPr>
              <w:t xml:space="preserve">as </w:t>
            </w:r>
            <w:r w:rsidR="00842BF7" w:rsidRPr="0076297D">
              <w:rPr>
                <w:lang w:val="en-AU"/>
              </w:rPr>
              <w:t>the Tolling Customer Ombudsman</w:t>
            </w:r>
          </w:p>
        </w:tc>
      </w:tr>
      <w:tr w:rsidR="00A87B0A" w:rsidRPr="0076297D" w14:paraId="7EC0EE2E" w14:textId="77777777" w:rsidTr="00A07722">
        <w:tc>
          <w:tcPr>
            <w:tcW w:w="3114" w:type="dxa"/>
          </w:tcPr>
          <w:p w14:paraId="49D836BE" w14:textId="1EAA63E9" w:rsidR="00A87B0A" w:rsidRPr="00A07722" w:rsidRDefault="00842BF7" w:rsidP="00042AD9">
            <w:pPr>
              <w:rPr>
                <w:b/>
                <w:bCs/>
                <w:lang w:val="en-AU"/>
              </w:rPr>
            </w:pPr>
            <w:r w:rsidRPr="00A07722">
              <w:rPr>
                <w:b/>
                <w:bCs/>
                <w:lang w:val="en-AU"/>
              </w:rPr>
              <w:t>Revenue Control</w:t>
            </w:r>
          </w:p>
        </w:tc>
        <w:tc>
          <w:tcPr>
            <w:tcW w:w="6236" w:type="dxa"/>
          </w:tcPr>
          <w:p w14:paraId="06B8E8A0" w14:textId="25BF7DC7" w:rsidR="00A87B0A" w:rsidRPr="0076297D" w:rsidRDefault="00842BF7" w:rsidP="00042AD9">
            <w:pPr>
              <w:rPr>
                <w:lang w:val="en-AU"/>
              </w:rPr>
            </w:pPr>
            <w:r w:rsidRPr="0076297D">
              <w:rPr>
                <w:lang w:val="en-AU"/>
              </w:rPr>
              <w:t xml:space="preserve">Ensure the prompt collection </w:t>
            </w:r>
            <w:r w:rsidR="00AD03D1" w:rsidRPr="0076297D">
              <w:rPr>
                <w:lang w:val="en-AU"/>
              </w:rPr>
              <w:t>o</w:t>
            </w:r>
            <w:r w:rsidRPr="0076297D">
              <w:rPr>
                <w:lang w:val="en-AU"/>
              </w:rPr>
              <w:t xml:space="preserve">f revenue and </w:t>
            </w:r>
            <w:r w:rsidR="00AD03D1" w:rsidRPr="0076297D">
              <w:rPr>
                <w:lang w:val="en-AU"/>
              </w:rPr>
              <w:t>recommend to the Board levies and applicable case fees to properly resource the TCO operations</w:t>
            </w:r>
          </w:p>
        </w:tc>
      </w:tr>
      <w:tr w:rsidR="00006AEF" w:rsidRPr="0076297D" w14:paraId="7D457077" w14:textId="77777777" w:rsidTr="00A07722">
        <w:tc>
          <w:tcPr>
            <w:tcW w:w="3114" w:type="dxa"/>
          </w:tcPr>
          <w:p w14:paraId="10457968" w14:textId="77777777" w:rsidR="00006AEF" w:rsidRPr="00A07722" w:rsidRDefault="00006AEF" w:rsidP="007F2E5A">
            <w:pPr>
              <w:rPr>
                <w:b/>
                <w:bCs/>
                <w:lang w:val="en-AU"/>
              </w:rPr>
            </w:pPr>
            <w:r w:rsidRPr="00A07722">
              <w:rPr>
                <w:b/>
                <w:bCs/>
                <w:lang w:val="en-AU"/>
              </w:rPr>
              <w:t>Reporting</w:t>
            </w:r>
          </w:p>
        </w:tc>
        <w:tc>
          <w:tcPr>
            <w:tcW w:w="6236" w:type="dxa"/>
          </w:tcPr>
          <w:p w14:paraId="544F3231" w14:textId="77777777" w:rsidR="00006AEF" w:rsidRPr="0076297D" w:rsidRDefault="00006AEF" w:rsidP="007F2E5A">
            <w:pPr>
              <w:rPr>
                <w:lang w:val="en-AU"/>
              </w:rPr>
            </w:pPr>
            <w:r>
              <w:rPr>
                <w:lang w:val="en-AU"/>
              </w:rPr>
              <w:t>Ensure the production of required reporting, including, but not limited to, the Annual Report and regular public updates as required to satisfy accountability and regulatory requirements</w:t>
            </w:r>
          </w:p>
        </w:tc>
      </w:tr>
      <w:tr w:rsidR="00CE7576" w:rsidRPr="0076297D" w14:paraId="6E2C7821" w14:textId="77777777" w:rsidTr="00A07722">
        <w:tc>
          <w:tcPr>
            <w:tcW w:w="3114" w:type="dxa"/>
          </w:tcPr>
          <w:p w14:paraId="15BFC12B" w14:textId="77777777" w:rsidR="00CE7576" w:rsidRPr="00A07722" w:rsidRDefault="00CE7576" w:rsidP="007F2E5A">
            <w:pPr>
              <w:rPr>
                <w:b/>
                <w:bCs/>
                <w:lang w:val="en-AU"/>
              </w:rPr>
            </w:pPr>
            <w:r w:rsidRPr="00A07722">
              <w:rPr>
                <w:b/>
                <w:bCs/>
                <w:lang w:val="en-AU"/>
              </w:rPr>
              <w:t>Risk management</w:t>
            </w:r>
          </w:p>
        </w:tc>
        <w:tc>
          <w:tcPr>
            <w:tcW w:w="6236" w:type="dxa"/>
          </w:tcPr>
          <w:p w14:paraId="78624CE2" w14:textId="77777777" w:rsidR="00CE7576" w:rsidRPr="0076297D" w:rsidRDefault="00CE7576" w:rsidP="007F2E5A">
            <w:pPr>
              <w:rPr>
                <w:lang w:val="en-AU"/>
              </w:rPr>
            </w:pPr>
            <w:r>
              <w:rPr>
                <w:lang w:val="en-AU"/>
              </w:rPr>
              <w:t>Formulate risk strategies and control frameworks to manage organisational risk in an appropriate manner in line with the risk appetite and tolerances set by the Board</w:t>
            </w:r>
          </w:p>
        </w:tc>
      </w:tr>
      <w:tr w:rsidR="00A87B0A" w:rsidRPr="0076297D" w14:paraId="28AC705B" w14:textId="77777777" w:rsidTr="00A07722">
        <w:tc>
          <w:tcPr>
            <w:tcW w:w="3114" w:type="dxa"/>
          </w:tcPr>
          <w:p w14:paraId="0F4C5C93" w14:textId="29207F4C" w:rsidR="00A87B0A" w:rsidRPr="00A07722" w:rsidRDefault="007A60A8" w:rsidP="00042AD9">
            <w:pPr>
              <w:rPr>
                <w:b/>
                <w:bCs/>
                <w:lang w:val="en-AU"/>
              </w:rPr>
            </w:pPr>
            <w:r w:rsidRPr="00A07722">
              <w:rPr>
                <w:b/>
                <w:bCs/>
                <w:lang w:val="en-AU"/>
              </w:rPr>
              <w:t>Strategy and planning</w:t>
            </w:r>
          </w:p>
        </w:tc>
        <w:tc>
          <w:tcPr>
            <w:tcW w:w="6236" w:type="dxa"/>
          </w:tcPr>
          <w:p w14:paraId="7F883D81" w14:textId="67D7E839" w:rsidR="00A87B0A" w:rsidRPr="0076297D" w:rsidRDefault="007A60A8" w:rsidP="00042AD9">
            <w:pPr>
              <w:rPr>
                <w:lang w:val="en-AU"/>
              </w:rPr>
            </w:pPr>
            <w:r>
              <w:rPr>
                <w:lang w:val="en-AU"/>
              </w:rPr>
              <w:t>Provide input into, and execute strategies, policies and corporate plans so that the Board can provide long term organisational direction</w:t>
            </w:r>
          </w:p>
        </w:tc>
      </w:tr>
      <w:bookmarkEnd w:id="0"/>
      <w:bookmarkEnd w:id="1"/>
      <w:bookmarkEnd w:id="2"/>
      <w:bookmarkEnd w:id="3"/>
    </w:tbl>
    <w:p w14:paraId="039643C1" w14:textId="77777777" w:rsidR="00A87B0A" w:rsidRPr="0076297D" w:rsidRDefault="00A87B0A" w:rsidP="00042AD9">
      <w:pPr>
        <w:rPr>
          <w:lang w:val="en-AU"/>
        </w:rPr>
      </w:pPr>
    </w:p>
    <w:sectPr w:rsidR="00A87B0A" w:rsidRPr="0076297D">
      <w:footerReference w:type="default" r:id="rId9"/>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41663" w14:textId="77777777" w:rsidR="005E7775" w:rsidRDefault="005E7775">
      <w:pPr>
        <w:spacing w:after="0" w:line="240" w:lineRule="auto"/>
      </w:pPr>
      <w:r>
        <w:separator/>
      </w:r>
    </w:p>
  </w:endnote>
  <w:endnote w:type="continuationSeparator" w:id="0">
    <w:p w14:paraId="35ECC0A5" w14:textId="77777777" w:rsidR="005E7775" w:rsidRDefault="005E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060048"/>
      <w:docPartObj>
        <w:docPartGallery w:val="Page Numbers (Bottom of Page)"/>
        <w:docPartUnique/>
      </w:docPartObj>
    </w:sdtPr>
    <w:sdtEndPr/>
    <w:sdtContent>
      <w:p w14:paraId="739870B0" w14:textId="44921727" w:rsidR="00775649" w:rsidRDefault="0007408E">
        <w:pPr>
          <w:pStyle w:val="Footer"/>
        </w:pPr>
        <w:r>
          <w:fldChar w:fldCharType="begin"/>
        </w:r>
        <w:r>
          <w:instrText xml:space="preserve"> PAGE   \* MERGEFORMAT </w:instrText>
        </w:r>
        <w:r>
          <w:fldChar w:fldCharType="separate"/>
        </w:r>
        <w:r w:rsidR="00EE708E">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F42F7" w14:textId="77777777" w:rsidR="005E7775" w:rsidRDefault="005E7775">
      <w:pPr>
        <w:spacing w:after="0" w:line="240" w:lineRule="auto"/>
      </w:pPr>
      <w:r>
        <w:separator/>
      </w:r>
    </w:p>
  </w:footnote>
  <w:footnote w:type="continuationSeparator" w:id="0">
    <w:p w14:paraId="4A1511FF" w14:textId="77777777" w:rsidR="005E7775" w:rsidRDefault="005E7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97472"/>
    <w:multiLevelType w:val="hybridMultilevel"/>
    <w:tmpl w:val="2C8C58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0DF4F10"/>
    <w:multiLevelType w:val="hybridMultilevel"/>
    <w:tmpl w:val="989E65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B53CF1"/>
    <w:multiLevelType w:val="multilevel"/>
    <w:tmpl w:val="423A0C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D716AF"/>
    <w:multiLevelType w:val="hybridMultilevel"/>
    <w:tmpl w:val="2D72BB4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BBC3D42"/>
    <w:multiLevelType w:val="hybridMultilevel"/>
    <w:tmpl w:val="B4A812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FB937F8"/>
    <w:multiLevelType w:val="hybridMultilevel"/>
    <w:tmpl w:val="B70275E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removePersonalInformation/>
  <w:removeDateAndTime/>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D4"/>
    <w:rsid w:val="00006AEF"/>
    <w:rsid w:val="00042AD9"/>
    <w:rsid w:val="00052B7B"/>
    <w:rsid w:val="000564B9"/>
    <w:rsid w:val="0007408E"/>
    <w:rsid w:val="00091256"/>
    <w:rsid w:val="000A518E"/>
    <w:rsid w:val="000D37F6"/>
    <w:rsid w:val="0012254B"/>
    <w:rsid w:val="0012532B"/>
    <w:rsid w:val="00131479"/>
    <w:rsid w:val="001346E6"/>
    <w:rsid w:val="00144FA8"/>
    <w:rsid w:val="001658F0"/>
    <w:rsid w:val="00183895"/>
    <w:rsid w:val="001A4FA1"/>
    <w:rsid w:val="001B4DAF"/>
    <w:rsid w:val="001B72B2"/>
    <w:rsid w:val="001C3B0F"/>
    <w:rsid w:val="001E5C2F"/>
    <w:rsid w:val="001F2100"/>
    <w:rsid w:val="001F74FC"/>
    <w:rsid w:val="001F76B1"/>
    <w:rsid w:val="002330A1"/>
    <w:rsid w:val="002E6C99"/>
    <w:rsid w:val="00334BBB"/>
    <w:rsid w:val="00344C35"/>
    <w:rsid w:val="0039169E"/>
    <w:rsid w:val="00396EB0"/>
    <w:rsid w:val="003D3148"/>
    <w:rsid w:val="00432F59"/>
    <w:rsid w:val="00445E8B"/>
    <w:rsid w:val="00510F56"/>
    <w:rsid w:val="0057159F"/>
    <w:rsid w:val="00577EB5"/>
    <w:rsid w:val="00580633"/>
    <w:rsid w:val="005833A8"/>
    <w:rsid w:val="005C1D4A"/>
    <w:rsid w:val="005E7775"/>
    <w:rsid w:val="006151BB"/>
    <w:rsid w:val="0064251C"/>
    <w:rsid w:val="006523D4"/>
    <w:rsid w:val="006541F0"/>
    <w:rsid w:val="00682624"/>
    <w:rsid w:val="00693CDD"/>
    <w:rsid w:val="0069427B"/>
    <w:rsid w:val="007523E6"/>
    <w:rsid w:val="0075779F"/>
    <w:rsid w:val="0076297D"/>
    <w:rsid w:val="00775649"/>
    <w:rsid w:val="007811A0"/>
    <w:rsid w:val="007A60A8"/>
    <w:rsid w:val="007E4452"/>
    <w:rsid w:val="00842BF7"/>
    <w:rsid w:val="0085329D"/>
    <w:rsid w:val="00893198"/>
    <w:rsid w:val="008A1572"/>
    <w:rsid w:val="008D42B0"/>
    <w:rsid w:val="008F2F6E"/>
    <w:rsid w:val="009003FD"/>
    <w:rsid w:val="00A07722"/>
    <w:rsid w:val="00A12745"/>
    <w:rsid w:val="00A45F6A"/>
    <w:rsid w:val="00A62DD4"/>
    <w:rsid w:val="00A87B0A"/>
    <w:rsid w:val="00AB7FD1"/>
    <w:rsid w:val="00AD03D1"/>
    <w:rsid w:val="00B020B2"/>
    <w:rsid w:val="00B033FB"/>
    <w:rsid w:val="00B1623A"/>
    <w:rsid w:val="00B2381C"/>
    <w:rsid w:val="00B375C3"/>
    <w:rsid w:val="00B669F7"/>
    <w:rsid w:val="00BD3C98"/>
    <w:rsid w:val="00C00F4C"/>
    <w:rsid w:val="00C12A6E"/>
    <w:rsid w:val="00C34F40"/>
    <w:rsid w:val="00CE7576"/>
    <w:rsid w:val="00D03418"/>
    <w:rsid w:val="00D169C2"/>
    <w:rsid w:val="00D42EF7"/>
    <w:rsid w:val="00D75D00"/>
    <w:rsid w:val="00DA31B9"/>
    <w:rsid w:val="00DB32F0"/>
    <w:rsid w:val="00DC390A"/>
    <w:rsid w:val="00DE247D"/>
    <w:rsid w:val="00DE6AE2"/>
    <w:rsid w:val="00E06BAA"/>
    <w:rsid w:val="00E21BCF"/>
    <w:rsid w:val="00E46E65"/>
    <w:rsid w:val="00E52D43"/>
    <w:rsid w:val="00E62F7E"/>
    <w:rsid w:val="00E65275"/>
    <w:rsid w:val="00E75752"/>
    <w:rsid w:val="00EA7CC5"/>
    <w:rsid w:val="00EB338A"/>
    <w:rsid w:val="00EE3246"/>
    <w:rsid w:val="00EE708E"/>
    <w:rsid w:val="00EF1E2C"/>
    <w:rsid w:val="00F256DA"/>
    <w:rsid w:val="00F27311"/>
    <w:rsid w:val="00F86122"/>
    <w:rsid w:val="00FA483D"/>
    <w:rsid w:val="00FE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87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4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b/>
      <w:bCs/>
      <w:color w:val="000000" w:themeColor="text1"/>
    </w:rPr>
  </w:style>
  <w:style w:type="paragraph" w:styleId="Heading2">
    <w:name w:val="heading 2"/>
    <w:basedOn w:val="Normal"/>
    <w:next w:val="Normal"/>
    <w:link w:val="Heading2Char"/>
    <w:uiPriority w:val="9"/>
    <w:unhideWhenUsed/>
    <w:qFormat/>
    <w:pPr>
      <w:keepNext/>
      <w:keepLines/>
      <w:outlineLvl w:val="1"/>
    </w:pPr>
    <w:rPr>
      <w:rFonts w:asciiTheme="majorHAnsi" w:eastAsiaTheme="majorEastAsia" w:hAnsiTheme="majorHAnsi" w:cstheme="majorBidi"/>
      <w:b/>
      <w:bCs/>
      <w:sz w:val="18"/>
      <w:szCs w:val="18"/>
    </w:rPr>
  </w:style>
  <w:style w:type="paragraph" w:styleId="Heading3">
    <w:name w:val="heading 3"/>
    <w:basedOn w:val="Normal"/>
    <w:next w:val="Normal"/>
    <w:link w:val="Heading3Char"/>
    <w:uiPriority w:val="9"/>
    <w:unhideWhenUsed/>
    <w:qFormat/>
    <w:rsid w:val="00144FA8"/>
    <w:pPr>
      <w:keepNext/>
      <w:keepLines/>
      <w:spacing w:before="200" w:after="0"/>
      <w:outlineLvl w:val="2"/>
    </w:pPr>
    <w:rPr>
      <w:rFonts w:asciiTheme="majorHAnsi" w:eastAsiaTheme="majorEastAsia" w:hAnsiTheme="majorHAnsi" w:cstheme="majorBidi"/>
      <w:b/>
      <w:bCs/>
      <w:color w:val="4F81BD" w:themeColor="accent1"/>
      <w:sz w:val="22"/>
      <w:szCs w:val="22"/>
      <w:lang w:val="en-AU"/>
    </w:rPr>
  </w:style>
  <w:style w:type="paragraph" w:styleId="Heading4">
    <w:name w:val="heading 4"/>
    <w:basedOn w:val="Normal"/>
    <w:next w:val="Normal"/>
    <w:link w:val="Heading4Char"/>
    <w:uiPriority w:val="9"/>
    <w:unhideWhenUsed/>
    <w:qFormat/>
    <w:rsid w:val="0012254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18"/>
      <w:szCs w:val="1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CompanyName">
    <w:name w:val="Company Name"/>
    <w:basedOn w:val="Normal"/>
    <w:qFormat/>
    <w:pPr>
      <w:spacing w:after="0" w:line="240" w:lineRule="auto"/>
      <w:jc w:val="center"/>
    </w:pPr>
    <w:rPr>
      <w:rFonts w:asciiTheme="majorHAnsi" w:eastAsiaTheme="majorEastAsia" w:hAnsiTheme="majorHAnsi" w:cstheme="majorBidi"/>
      <w:b/>
      <w:bCs/>
      <w:color w:val="FFFFFF" w:themeColor="background1"/>
      <w:spacing w:val="-15"/>
      <w:sz w:val="32"/>
    </w:rPr>
  </w:style>
  <w:style w:type="paragraph" w:styleId="Title">
    <w:name w:val="Title"/>
    <w:basedOn w:val="Normal"/>
    <w:next w:val="Normal"/>
    <w:qFormat/>
    <w:pPr>
      <w:spacing w:after="300" w:line="240" w:lineRule="auto"/>
      <w:ind w:left="-720"/>
      <w:contextualSpacing/>
    </w:pPr>
    <w:rPr>
      <w:rFonts w:asciiTheme="majorHAnsi" w:eastAsiaTheme="majorEastAsia" w:hAnsiTheme="majorHAnsi" w:cstheme="majorBidi"/>
      <w:b/>
      <w:bCs/>
      <w:color w:val="000000" w:themeColor="text1"/>
      <w:spacing w:val="5"/>
      <w:kern w:val="28"/>
      <w:sz w:val="96"/>
      <w:szCs w:val="96"/>
    </w:r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themeColor="text1"/>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spacing w:after="0" w:line="240" w:lineRule="auto"/>
      <w:jc w:val="center"/>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A62DD4"/>
    <w:pPr>
      <w:ind w:left="720"/>
      <w:contextualSpacing/>
    </w:pPr>
  </w:style>
  <w:style w:type="paragraph" w:styleId="FootnoteText">
    <w:name w:val="footnote text"/>
    <w:basedOn w:val="Normal"/>
    <w:link w:val="FootnoteTextChar"/>
    <w:uiPriority w:val="99"/>
    <w:semiHidden/>
    <w:unhideWhenUsed/>
    <w:rsid w:val="00DC390A"/>
    <w:pPr>
      <w:spacing w:after="0" w:line="240" w:lineRule="auto"/>
    </w:pPr>
  </w:style>
  <w:style w:type="character" w:customStyle="1" w:styleId="FootnoteTextChar">
    <w:name w:val="Footnote Text Char"/>
    <w:basedOn w:val="DefaultParagraphFont"/>
    <w:link w:val="FootnoteText"/>
    <w:uiPriority w:val="99"/>
    <w:semiHidden/>
    <w:rsid w:val="00DC390A"/>
  </w:style>
  <w:style w:type="character" w:styleId="FootnoteReference">
    <w:name w:val="footnote reference"/>
    <w:basedOn w:val="DefaultParagraphFont"/>
    <w:uiPriority w:val="99"/>
    <w:semiHidden/>
    <w:unhideWhenUsed/>
    <w:rsid w:val="00DC390A"/>
    <w:rPr>
      <w:vertAlign w:val="superscript"/>
    </w:rPr>
  </w:style>
  <w:style w:type="character" w:customStyle="1" w:styleId="Heading3Char">
    <w:name w:val="Heading 3 Char"/>
    <w:basedOn w:val="DefaultParagraphFont"/>
    <w:link w:val="Heading3"/>
    <w:uiPriority w:val="9"/>
    <w:rsid w:val="00144FA8"/>
    <w:rPr>
      <w:rFonts w:asciiTheme="majorHAnsi" w:eastAsiaTheme="majorEastAsia" w:hAnsiTheme="majorHAnsi" w:cstheme="majorBidi"/>
      <w:b/>
      <w:bCs/>
      <w:color w:val="4F81BD" w:themeColor="accent1"/>
      <w:sz w:val="22"/>
      <w:szCs w:val="22"/>
      <w:lang w:val="en-AU"/>
    </w:rPr>
  </w:style>
  <w:style w:type="character" w:customStyle="1" w:styleId="Heading4Char">
    <w:name w:val="Heading 4 Char"/>
    <w:basedOn w:val="DefaultParagraphFont"/>
    <w:link w:val="Heading4"/>
    <w:uiPriority w:val="9"/>
    <w:rsid w:val="0012254B"/>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510F56"/>
    <w:rPr>
      <w:b/>
      <w:color w:val="EEECE1" w:themeColor="background2"/>
      <w:u w:val="single"/>
    </w:rPr>
  </w:style>
  <w:style w:type="paragraph" w:styleId="BodyTextIndent3">
    <w:name w:val="Body Text Indent 3"/>
    <w:basedOn w:val="Normal"/>
    <w:link w:val="BodyTextIndent3Char"/>
    <w:rsid w:val="000564B9"/>
    <w:pPr>
      <w:tabs>
        <w:tab w:val="left" w:pos="1440"/>
        <w:tab w:val="left" w:pos="2160"/>
      </w:tabs>
      <w:spacing w:after="0" w:line="240" w:lineRule="auto"/>
      <w:ind w:left="1440" w:hanging="1080"/>
      <w:jc w:val="both"/>
    </w:pPr>
    <w:rPr>
      <w:rFonts w:ascii="Times New Roman" w:eastAsia="Times New Roman" w:hAnsi="Times New Roman" w:cs="Times New Roman"/>
      <w:sz w:val="24"/>
      <w:szCs w:val="24"/>
      <w:lang w:val="en-AU"/>
    </w:rPr>
  </w:style>
  <w:style w:type="character" w:customStyle="1" w:styleId="BodyTextIndent3Char">
    <w:name w:val="Body Text Indent 3 Char"/>
    <w:basedOn w:val="DefaultParagraphFont"/>
    <w:link w:val="BodyTextIndent3"/>
    <w:rsid w:val="000564B9"/>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row\AppData\Roaming\Microsoft\Templates\Interoffice%20Memo%20(Professional%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panose="020B0604020202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B7E72-433B-4B44-9311-2C06B3247CC5}">
  <ds:schemaRefs>
    <ds:schemaRef ds:uri="http://schemas.microsoft.com/sharepoint/v3/contenttype/forms"/>
  </ds:schemaRefs>
</ds:datastoreItem>
</file>

<file path=customXml/itemProps2.xml><?xml version="1.0" encoding="utf-8"?>
<ds:datastoreItem xmlns:ds="http://schemas.openxmlformats.org/officeDocument/2006/customXml" ds:itemID="{223E3E96-3028-E34D-BCE0-673B0020C1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Interoffice%20Memo%20(Professional%20design).dotx</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2017-11-18T11:11:00Z</dcterms:created>
  <dcterms:modified xsi:type="dcterms:W3CDTF">2019-09-08T05:25:00Z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TC034649189991</vt:lpwstr>
  </property>
</Properties>
</file>